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rPr>
          <w:sz w:val="22"/>
          <w:szCs w:val="22"/>
          <w:lang w:eastAsia="zh-CN"/>
        </w:rPr>
      </w:pPr>
      <w:r>
        <w:rPr>
          <w:sz w:val="22"/>
          <w:szCs w:val="22"/>
        </w:rPr>
        <w:t>3GPP TSG-RAN WG2</w:t>
      </w:r>
      <w:r>
        <w:rPr>
          <w:sz w:val="22"/>
          <w:szCs w:val="22"/>
          <w:lang w:eastAsia="zh-CN"/>
        </w:rPr>
        <w:t xml:space="preserve"> Meeting #111</w:t>
      </w:r>
      <w:r>
        <w:rPr>
          <w:rFonts w:hint="eastAsia"/>
          <w:sz w:val="22"/>
          <w:szCs w:val="22"/>
          <w:lang w:val="en-US" w:eastAsia="zh-CN"/>
        </w:rPr>
        <w:t xml:space="preserve"> </w:t>
      </w:r>
      <w:r>
        <w:rPr>
          <w:rFonts w:ascii="Arial" w:hAnsi="Arial" w:cs="Arial"/>
          <w:b/>
          <w:bCs/>
          <w:sz w:val="24"/>
          <w:szCs w:val="24"/>
          <w:lang w:val="en-US" w:eastAsia="en-US"/>
        </w:rPr>
        <w:t>electronic</w:t>
      </w:r>
      <w:r>
        <w:rPr>
          <w:sz w:val="22"/>
          <w:szCs w:val="22"/>
        </w:rPr>
        <w:t xml:space="preserve">    </w:t>
      </w:r>
      <w:bookmarkStart w:id="5" w:name="_GoBack"/>
      <w:bookmarkEnd w:id="5"/>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R2-2007147</w:t>
      </w:r>
    </w:p>
    <w:p>
      <w:pPr>
        <w:pStyle w:val="36"/>
        <w:rPr>
          <w:rFonts w:ascii="Arial" w:hAnsi="Arial"/>
          <w:sz w:val="22"/>
          <w:szCs w:val="22"/>
          <w:lang w:eastAsia="zh-CN"/>
        </w:rPr>
      </w:pPr>
      <w:r>
        <w:rPr>
          <w:rFonts w:ascii="Arial" w:hAnsi="Arial"/>
          <w:sz w:val="22"/>
          <w:szCs w:val="22"/>
          <w:lang w:val="en-US" w:eastAsia="en-US"/>
        </w:rPr>
        <w:t xml:space="preserve">E-Meeting, </w:t>
      </w:r>
      <w:r>
        <w:rPr>
          <w:rFonts w:ascii="Arial" w:hAnsi="Arial"/>
          <w:sz w:val="22"/>
          <w:szCs w:val="22"/>
          <w:lang w:val="de-DE" w:eastAsia="zh-CN"/>
        </w:rPr>
        <w:t>17th - 28th</w:t>
      </w:r>
      <w:r>
        <w:rPr>
          <w:rFonts w:hint="eastAsia" w:ascii="Arial" w:hAnsi="Arial"/>
          <w:sz w:val="22"/>
          <w:szCs w:val="22"/>
          <w:lang w:val="en-US" w:eastAsia="zh-CN"/>
        </w:rPr>
        <w:t xml:space="preserve"> Aug. </w:t>
      </w:r>
      <w:r>
        <w:rPr>
          <w:rFonts w:ascii="Arial" w:hAnsi="Arial"/>
          <w:sz w:val="22"/>
          <w:szCs w:val="22"/>
          <w:lang w:val="en-US" w:eastAsia="en-US"/>
        </w:rPr>
        <w:t>2020</w:t>
      </w:r>
      <w:r>
        <w:rPr>
          <w:rFonts w:ascii="Arial" w:hAnsi="Arial"/>
          <w:sz w:val="22"/>
          <w:szCs w:val="22"/>
          <w:lang w:eastAsia="zh-CN"/>
        </w:rPr>
        <w:t xml:space="preserve"> </w:t>
      </w:r>
    </w:p>
    <w:p>
      <w:pPr>
        <w:pStyle w:val="36"/>
        <w:rPr>
          <w:rFonts w:eastAsiaTheme="minorEastAsia"/>
          <w:sz w:val="22"/>
          <w:szCs w:val="22"/>
          <w:lang w:eastAsia="ko-KR"/>
        </w:rPr>
      </w:pPr>
      <w:r>
        <w:rPr>
          <w:rFonts w:hint="eastAsia" w:eastAsiaTheme="minorEastAsia"/>
          <w:sz w:val="22"/>
          <w:szCs w:val="22"/>
          <w:lang w:eastAsia="ko-KR"/>
        </w:rPr>
        <w:t xml:space="preserve">Agenda Item: </w:t>
      </w:r>
      <w:r>
        <w:rPr>
          <w:rFonts w:eastAsiaTheme="minorEastAsia"/>
          <w:sz w:val="22"/>
          <w:szCs w:val="22"/>
          <w:lang w:eastAsia="ko-KR"/>
        </w:rPr>
        <w:t>6.5.3</w:t>
      </w:r>
    </w:p>
    <w:p>
      <w:pPr>
        <w:pStyle w:val="36"/>
        <w:rPr>
          <w:b w:val="0"/>
          <w:sz w:val="24"/>
        </w:rPr>
      </w:pP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b/>
                <w:sz w:val="28"/>
                <w:szCs w:val="28"/>
                <w:lang w:eastAsia="zh-CN"/>
              </w:rPr>
              <w:t>38.32</w:t>
            </w:r>
            <w:r>
              <w:rPr>
                <w:b/>
                <w:sz w:val="28"/>
                <w:szCs w:val="28"/>
                <w:lang w:eastAsia="zh-CN"/>
              </w:rPr>
              <w:t>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Theme="minorEastAsia"/>
                <w:lang w:eastAsia="ko-KR"/>
              </w:rPr>
            </w:pPr>
            <w:r>
              <w:rPr>
                <w:b/>
                <w:sz w:val="28"/>
                <w:lang w:eastAsia="zh-CN"/>
              </w:rPr>
              <w:t>0805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Theme="minorEastAsia"/>
                <w:b/>
                <w:lang w:eastAsia="ko-KR"/>
              </w:rPr>
            </w:pPr>
            <w:r>
              <w:rPr>
                <w:rFonts w:hint="eastAsia"/>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16.1.0</w:t>
            </w:r>
            <w:r>
              <w:rPr>
                <w:b/>
                <w:sz w:val="28"/>
              </w:rPr>
              <w:fldChar w:fldCharType="end"/>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UE autonomous retransmission considering the processing time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lang w:eastAsia="zh-CN"/>
              </w:rPr>
              <w:t>v</w:t>
            </w:r>
            <w:r>
              <w:rPr>
                <w:rFonts w:hint="eastAsia"/>
                <w:lang w:eastAsia="zh-CN"/>
              </w:rPr>
              <w:t>iv</w:t>
            </w:r>
            <w:r>
              <w:t>o, Samsung, Lenovo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NR_IIOT-Core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eastAsia="zh-CN"/>
              </w:rPr>
            </w:pPr>
            <w:r>
              <w:t>2020-08-03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 xml:space="preserve">According to the current Rel-16 specification, the UE is required to perform an autonomous transmission in the UL grant which is immediately following the deprioritzed uplink grant, i.e. normative text </w:t>
            </w:r>
            <w:r>
              <w:rPr>
                <w:rFonts w:eastAsia="Malgun Gothic" w:cs="Arial"/>
                <w:lang w:eastAsia="ko-KR"/>
              </w:rPr>
              <w:t>mandates the UE to check whether the immediate previous configured uplink grant was de-prioritized</w:t>
            </w:r>
            <w:r>
              <w:t>. However due to the processing time constraints, using the UL grant which is immediately following the deprioritzed uplink grant may cause that the UE does not have sufficent time to prepare the PUSCH for transmission. In the RAN2#109e meeting, RAN2 made the following agreement:</w:t>
            </w:r>
          </w:p>
          <w:p>
            <w:pPr>
              <w:pStyle w:val="82"/>
              <w:numPr>
                <w:ilvl w:val="0"/>
                <w:numId w:val="2"/>
              </w:numPr>
              <w:spacing w:after="0"/>
            </w:pPr>
            <w:r>
              <w:rPr>
                <w:lang w:eastAsia="ko-KR"/>
              </w:rPr>
              <w:t>When the CG is de</w:t>
            </w:r>
            <w:r>
              <w:rPr>
                <w:rFonts w:hint="eastAsia" w:eastAsiaTheme="minorEastAsia"/>
                <w:lang w:eastAsia="zh-CN"/>
              </w:rPr>
              <w:t>-</w:t>
            </w:r>
            <w:r>
              <w:rPr>
                <w:lang w:eastAsia="ko-KR"/>
              </w:rPr>
              <w:t>prioritized, it is up to the UE implementation to determine the processing time restriction determining whether the very next CG resource with same HARQ process can be used, or the/a following one, for an autonomous transmission.</w:t>
            </w:r>
          </w:p>
          <w:p>
            <w:pPr>
              <w:pStyle w:val="82"/>
              <w:spacing w:after="0"/>
              <w:ind w:left="100"/>
            </w:pPr>
            <w:r>
              <w:t>In the RAN2#110e meeting, RAN2 agreed to have a NOTE to caputure the above agreement:</w:t>
            </w:r>
          </w:p>
          <w:p>
            <w:pPr>
              <w:pStyle w:val="82"/>
              <w:numPr>
                <w:ilvl w:val="0"/>
                <w:numId w:val="2"/>
              </w:numPr>
              <w:spacing w:after="0"/>
            </w:pPr>
            <w:r>
              <w:t>Postponed to next meeting: A NOTE for RAN2#109-e agreement on next CG selection for autonomous retransmission will be added. The following TP is a baseline: “It is up to the UE implementation to determine the closest available next configured grant configured with autonomousTx for the transmission of the MAC PDU of the same HARQ process of the previously de-prioritized uplink grant.”</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Theme="minorEastAsia"/>
                <w:lang w:eastAsia="ko-KR"/>
              </w:rPr>
            </w:pPr>
            <w:r>
              <w:rPr>
                <w:rFonts w:eastAsiaTheme="minorEastAsia"/>
                <w:lang w:eastAsia="ko-KR"/>
              </w:rPr>
              <w:t xml:space="preserve">In section 5.4.2.1, a NOTE is added to clarify that </w:t>
            </w:r>
            <w:r>
              <w:t>It is up to the UE implementation to determine the closest available next configured grant configured with autonomousTx for the transmission of the MAC PDU of the same HARQ process of the previously de-prioritized uplink grant.</w:t>
            </w:r>
          </w:p>
          <w:p>
            <w:pPr>
              <w:pStyle w:val="82"/>
              <w:spacing w:after="0"/>
              <w:ind w:left="100"/>
              <w:rPr>
                <w:rFonts w:eastAsiaTheme="minorEastAsia"/>
                <w:lang w:eastAsia="ko-KR"/>
              </w:rPr>
            </w:pPr>
          </w:p>
          <w:p>
            <w:pPr>
              <w:pStyle w:val="82"/>
              <w:spacing w:after="0"/>
              <w:ind w:left="100"/>
              <w:rPr>
                <w:b/>
                <w:bCs/>
                <w:lang w:val="en-US" w:eastAsia="zh-CN"/>
              </w:rPr>
            </w:pPr>
            <w:r>
              <w:rPr>
                <w:b/>
                <w:bCs/>
              </w:rPr>
              <w:t>Impact Analysis</w:t>
            </w:r>
          </w:p>
          <w:p>
            <w:pPr>
              <w:pStyle w:val="82"/>
              <w:spacing w:after="0"/>
              <w:ind w:left="100"/>
            </w:pPr>
            <w:r>
              <w:rPr>
                <w:rFonts w:hint="eastAsia"/>
                <w:u w:val="single"/>
              </w:rPr>
              <w:t>Impacted 5G architecture options:</w:t>
            </w:r>
          </w:p>
          <w:p>
            <w:pPr>
              <w:pStyle w:val="82"/>
              <w:spacing w:after="0"/>
              <w:ind w:left="100"/>
              <w:rPr>
                <w:lang w:val="de-DE"/>
              </w:rPr>
            </w:pPr>
            <w:r>
              <w:rPr>
                <w:lang w:val="de-DE"/>
              </w:rPr>
              <w:t>SA, NR-DC, NE-DC, EN-DC, ng-EN-DC</w:t>
            </w:r>
          </w:p>
          <w:p>
            <w:pPr>
              <w:pStyle w:val="82"/>
              <w:spacing w:after="0"/>
              <w:ind w:left="100"/>
              <w:rPr>
                <w:u w:val="single"/>
                <w:lang w:val="de-DE"/>
              </w:rPr>
            </w:pPr>
            <w:r>
              <w:rPr>
                <w:u w:val="single"/>
                <w:lang w:val="de-DE"/>
              </w:rPr>
              <w:t xml:space="preserve"> </w:t>
            </w:r>
          </w:p>
          <w:p>
            <w:pPr>
              <w:pStyle w:val="82"/>
              <w:spacing w:after="0"/>
              <w:ind w:left="100"/>
              <w:rPr>
                <w:u w:val="single"/>
              </w:rPr>
            </w:pPr>
            <w:r>
              <w:rPr>
                <w:u w:val="single"/>
              </w:rPr>
              <w:t>Impacted functionality:</w:t>
            </w:r>
          </w:p>
          <w:p>
            <w:pPr>
              <w:pStyle w:val="82"/>
              <w:spacing w:after="0"/>
              <w:ind w:left="100"/>
            </w:pPr>
            <w:r>
              <w:rPr>
                <w:kern w:val="2"/>
              </w:rPr>
              <w:t>Autonmous retransmission for configured grant</w:t>
            </w:r>
          </w:p>
          <w:p>
            <w:pPr>
              <w:pStyle w:val="82"/>
              <w:spacing w:after="0"/>
              <w:ind w:left="100"/>
            </w:pPr>
            <w:r>
              <w:t xml:space="preserve"> </w:t>
            </w:r>
          </w:p>
          <w:p>
            <w:pPr>
              <w:pStyle w:val="82"/>
              <w:spacing w:after="0"/>
              <w:ind w:left="100"/>
              <w:rPr>
                <w:u w:val="single"/>
              </w:rPr>
            </w:pPr>
            <w:r>
              <w:rPr>
                <w:u w:val="single"/>
              </w:rPr>
              <w:t>Inter-operability:</w:t>
            </w:r>
          </w:p>
          <w:p>
            <w:pPr>
              <w:pStyle w:val="82"/>
              <w:spacing w:after="0"/>
              <w:ind w:left="100"/>
            </w:pPr>
            <w:r>
              <w:t>1.</w:t>
            </w:r>
            <w:r>
              <w:tab/>
            </w:r>
            <w:r>
              <w:t xml:space="preserve"> If the network is implemented according to the CR and the UE is not, no inter-operability issue is foreseen.</w:t>
            </w:r>
          </w:p>
          <w:p>
            <w:pPr>
              <w:pStyle w:val="82"/>
              <w:spacing w:after="0"/>
              <w:ind w:left="100"/>
            </w:pPr>
            <w:r>
              <w:t>2.</w:t>
            </w:r>
            <w:r>
              <w:tab/>
            </w:r>
            <w:r>
              <w:t xml:space="preserve"> If the UE is implemented according to the CR and the network is not, no inter-operability issue is foreseen.</w:t>
            </w:r>
          </w:p>
          <w:p>
            <w:pPr>
              <w:pStyle w:val="82"/>
              <w:spacing w:after="0"/>
              <w:ind w:left="100"/>
              <w:rPr>
                <w:rFonts w:eastAsiaTheme="minorEastAsia"/>
                <w:lang w:eastAsia="ko-KR"/>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If the CR is not approved, </w:t>
            </w:r>
            <w:r>
              <w:rPr>
                <w:rFonts w:hint="eastAsia"/>
                <w:lang w:eastAsia="zh-CN"/>
              </w:rPr>
              <w:t>the</w:t>
            </w:r>
            <w:r>
              <w:t xml:space="preserve"> UE may not have sufficient preparation time for the PUSCH transmission when the UE is required to perform the autonomous retransmission.</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Theme="minorEastAsia"/>
                <w:lang w:eastAsia="ko-KR"/>
              </w:rPr>
            </w:pPr>
            <w:r>
              <w:rPr>
                <w:rFonts w:eastAsiaTheme="minorEastAsia"/>
                <w:lang w:eastAsia="ko-KR"/>
              </w:rPr>
              <w:t>5.4.2.1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Theme="minorEastAsia"/>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Theme="minorEastAsia"/>
                <w:b/>
                <w:caps/>
                <w:lang w:eastAsia="ko-KR"/>
              </w:rPr>
            </w:pPr>
            <w:r>
              <w:rPr>
                <w:rFonts w:hint="eastAsia" w:eastAsiaTheme="minor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pacing w:after="0"/>
      </w:pPr>
    </w:p>
    <w:p>
      <w:pPr>
        <w:spacing w:after="0"/>
      </w:pPr>
    </w:p>
    <w:p>
      <w:pPr>
        <w:rPr>
          <w:rFonts w:eastAsia="PMingLiU"/>
          <w:lang w:eastAsia="zh-TW"/>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sz w:val="32"/>
        </w:rPr>
        <w:t>Start of Change</w:t>
      </w:r>
    </w:p>
    <w:p>
      <w:pPr>
        <w:spacing w:after="0"/>
      </w:pPr>
    </w:p>
    <w:p>
      <w:pPr>
        <w:pStyle w:val="5"/>
        <w:rPr>
          <w:lang w:eastAsia="ko-KR"/>
        </w:rPr>
      </w:pPr>
      <w:bookmarkStart w:id="2" w:name="_Toc46490321"/>
      <w:bookmarkStart w:id="3" w:name="_Toc37296195"/>
      <w:bookmarkStart w:id="4" w:name="_Toc29239836"/>
      <w:r>
        <w:rPr>
          <w:lang w:eastAsia="ko-KR"/>
        </w:rPr>
        <w:t>5.4.2.1</w:t>
      </w:r>
      <w:r>
        <w:rPr>
          <w:lang w:eastAsia="ko-KR"/>
        </w:rPr>
        <w:tab/>
      </w:r>
      <w:r>
        <w:rPr>
          <w:lang w:eastAsia="ko-KR"/>
        </w:rPr>
        <w:t>HARQ Entity</w:t>
      </w:r>
      <w:bookmarkEnd w:id="2"/>
      <w:bookmarkEnd w:id="3"/>
      <w:bookmarkEnd w:id="4"/>
    </w:p>
    <w:p>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pPr>
        <w:rPr>
          <w:lang w:eastAsia="ko-KR"/>
        </w:rPr>
      </w:pPr>
      <w:r>
        <w:rPr>
          <w:lang w:eastAsia="ko-KR"/>
        </w:rPr>
        <w:t>The number of parallel UL HARQ processes per HARQ entity is specified in TS 38.214 [7].</w:t>
      </w:r>
    </w:p>
    <w:p>
      <w:pPr>
        <w:rPr>
          <w:lang w:eastAsia="ko-KR"/>
        </w:rPr>
      </w:pPr>
      <w:r>
        <w:rPr>
          <w:lang w:eastAsia="ko-KR"/>
        </w:rPr>
        <w:t>Each HARQ process supports one TB.</w:t>
      </w:r>
    </w:p>
    <w:p>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pPr>
        <w:pStyle w:val="57"/>
        <w:rPr>
          <w:lang w:eastAsia="ko-KR"/>
        </w:rPr>
      </w:pPr>
      <w:r>
        <w:rPr>
          <w:lang w:eastAsia="ko-KR"/>
        </w:rPr>
        <w:t>NOTE:</w:t>
      </w:r>
      <w:r>
        <w:rPr>
          <w:lang w:eastAsia="ko-KR"/>
        </w:rPr>
        <w:tab/>
      </w:r>
      <w:r>
        <w:rPr>
          <w:lang w:eastAsia="ko-KR"/>
        </w:rPr>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pPr>
        <w:rPr>
          <w:lang w:eastAsia="ko-KR"/>
        </w:rPr>
      </w:pPr>
      <w:r>
        <w:rPr>
          <w:lang w:eastAsia="ko-KR"/>
        </w:rPr>
        <w:t xml:space="preserve">The number of transmissions of a TB within a bundle of the dynamic grant or configured grant is given by </w:t>
      </w:r>
      <w:r>
        <w:rPr>
          <w:i/>
          <w:lang w:eastAsia="ko-KR"/>
        </w:rPr>
        <w:t>REPETITION_NUMBER</w:t>
      </w:r>
      <w:r>
        <w:rPr>
          <w:lang w:eastAsia="ko-KR"/>
        </w:rPr>
        <w:t xml:space="preserve"> as follows:</w:t>
      </w:r>
    </w:p>
    <w:p>
      <w:pPr>
        <w:pStyle w:val="76"/>
        <w:rPr>
          <w:lang w:eastAsia="ko-KR"/>
        </w:rPr>
      </w:pPr>
      <w:r>
        <w:rPr>
          <w:lang w:eastAsia="ko-KR"/>
        </w:rPr>
        <w:t>-</w:t>
      </w:r>
      <w:r>
        <w:rPr>
          <w:lang w:eastAsia="ko-KR"/>
        </w:rPr>
        <w:tab/>
      </w:r>
      <w:r>
        <w:rPr>
          <w:lang w:eastAsia="ko-KR"/>
        </w:rPr>
        <w:t xml:space="preserve">For a dynamic grant, </w:t>
      </w:r>
      <w:r>
        <w:rPr>
          <w:i/>
          <w:lang w:eastAsia="ko-KR"/>
        </w:rPr>
        <w:t>REPETITION_NUMBER</w:t>
      </w:r>
      <w:r>
        <w:rPr>
          <w:lang w:eastAsia="ko-KR"/>
        </w:rPr>
        <w:t xml:space="preserve"> is set to a value provided by lower layers, as specified in clause 6.1.2.1 of TS 38.214 [7];</w:t>
      </w:r>
    </w:p>
    <w:p>
      <w:pPr>
        <w:pStyle w:val="76"/>
        <w:rPr>
          <w:lang w:eastAsia="ko-KR"/>
        </w:rPr>
      </w:pPr>
      <w:r>
        <w:rPr>
          <w:lang w:eastAsia="ko-KR"/>
        </w:rPr>
        <w:t>-</w:t>
      </w:r>
      <w:r>
        <w:rPr>
          <w:lang w:eastAsia="ko-KR"/>
        </w:rPr>
        <w:tab/>
      </w:r>
      <w:r>
        <w:rPr>
          <w:lang w:eastAsia="ko-KR"/>
        </w:rPr>
        <w:t xml:space="preserve">For a configured grant, </w:t>
      </w:r>
      <w:r>
        <w:rPr>
          <w:i/>
          <w:lang w:eastAsia="ko-KR"/>
        </w:rPr>
        <w:t>REPETITION_NUMBER</w:t>
      </w:r>
      <w:r>
        <w:rPr>
          <w:lang w:eastAsia="ko-KR"/>
        </w:rPr>
        <w:t xml:space="preserve"> is set to a value provided by lower layers, as specified in clause 6.1.2.3 of TS 38.214 [7].</w:t>
      </w:r>
    </w:p>
    <w:p>
      <w:pPr>
        <w:rPr>
          <w:lang w:eastAsia="ko-KR"/>
        </w:rPr>
      </w:pPr>
      <w:r>
        <w:rPr>
          <w:lang w:eastAsia="ko-KR"/>
        </w:rPr>
        <w:t xml:space="preserve">If </w:t>
      </w:r>
      <w:r>
        <w:rPr>
          <w:i/>
          <w:lang w:eastAsia="ko-KR"/>
        </w:rPr>
        <w:t>REPETITION_NUMBER</w:t>
      </w:r>
      <w:r>
        <w:rPr>
          <w:lang w:eastAsia="ko-KR"/>
        </w:rPr>
        <w:t xml:space="preserve"> &gt; 1, after the initial transmission, </w:t>
      </w:r>
      <w:r>
        <w:rPr>
          <w:i/>
          <w:lang w:eastAsia="ko-KR"/>
        </w:rPr>
        <w:t>REPETITION_NUMBER</w:t>
      </w:r>
      <w:r>
        <w:rPr>
          <w:lang w:eastAsia="ko-KR"/>
        </w:rPr>
        <w:t xml:space="preserve"> – 1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 Each transmission within a bundle is a separate uplink grant after the initial uplink grant within a bundle is delivered to the HARQ entity.</w:t>
      </w:r>
    </w:p>
    <w:p>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
        <w:t xml:space="preserve">For each </w:t>
      </w:r>
      <w:r>
        <w:rPr>
          <w:lang w:eastAsia="ko-KR"/>
        </w:rPr>
        <w:t>uplink grant</w:t>
      </w:r>
      <w:r>
        <w:t>, the HARQ entity shall:</w:t>
      </w:r>
    </w:p>
    <w:p>
      <w:pPr>
        <w:pStyle w:val="76"/>
      </w:pPr>
      <w:r>
        <w:rPr>
          <w:lang w:eastAsia="ko-KR"/>
        </w:rPr>
        <w:t>1&gt;</w:t>
      </w:r>
      <w:r>
        <w:tab/>
      </w:r>
      <w:r>
        <w:t xml:space="preserve">identify the HARQ process associated with this </w:t>
      </w:r>
      <w:r>
        <w:rPr>
          <w:lang w:eastAsia="ko-KR"/>
        </w:rPr>
        <w:t>grant</w:t>
      </w:r>
      <w:r>
        <w:t>, and for each identified HARQ process:</w:t>
      </w:r>
    </w:p>
    <w:p>
      <w:pPr>
        <w:pStyle w:val="77"/>
        <w:rPr>
          <w:lang w:eastAsia="ko-KR"/>
        </w:rPr>
      </w:pPr>
      <w:r>
        <w:rPr>
          <w:lang w:eastAsia="ko-KR"/>
        </w:rPr>
        <w:t>2&gt;</w:t>
      </w:r>
      <w:r>
        <w:tab/>
      </w:r>
      <w:r>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pPr>
        <w:pStyle w:val="77"/>
        <w:rPr>
          <w:lang w:eastAsia="ko-KR"/>
        </w:rPr>
      </w:pPr>
      <w:r>
        <w:rPr>
          <w:lang w:eastAsia="ko-KR"/>
        </w:rPr>
        <w:t>2&gt;</w:t>
      </w:r>
      <w:r>
        <w:rPr>
          <w:lang w:eastAsia="ko-KR"/>
        </w:rPr>
        <w:tab/>
      </w:r>
      <w:r>
        <w:rPr>
          <w:lang w:eastAsia="ko-KR"/>
        </w:rPr>
        <w:t>if the uplink grant was received on PDCCH for the C-RNTI and the HARQ buffer of the identified process is empty; or</w:t>
      </w:r>
    </w:p>
    <w:p>
      <w:pPr>
        <w:pStyle w:val="77"/>
      </w:pPr>
      <w:r>
        <w:rPr>
          <w:lang w:eastAsia="ko-KR"/>
        </w:rPr>
        <w:t>2&gt;</w:t>
      </w:r>
      <w:r>
        <w:tab/>
      </w:r>
      <w:r>
        <w:t>if the uplink grant was received in a Random Access Response (i.e. in a MAC RAR or a fallback RAR); or</w:t>
      </w:r>
    </w:p>
    <w:p>
      <w:pPr>
        <w:pStyle w:val="77"/>
      </w:pPr>
      <w:r>
        <w:t>2&gt;</w:t>
      </w:r>
      <w:r>
        <w:tab/>
      </w:r>
      <w:r>
        <w:rPr>
          <w:lang w:eastAsia="zh-CN"/>
        </w:rPr>
        <w:t xml:space="preserve">if the uplink grant was </w:t>
      </w:r>
      <w:r>
        <w:rPr>
          <w:lang w:eastAsia="ko-KR"/>
        </w:rPr>
        <w:t>determined as specified in clause 5.1.2a for the transmission of the MSGA payload; or</w:t>
      </w:r>
    </w:p>
    <w:p>
      <w:pPr>
        <w:pStyle w:val="77"/>
      </w:pPr>
      <w:r>
        <w:t>2&gt;</w:t>
      </w:r>
      <w:r>
        <w:tab/>
      </w:r>
      <w:r>
        <w:t xml:space="preserve">if the uplink grant was received on PDCCH for the C-RNTI in </w:t>
      </w:r>
      <w:r>
        <w:rPr>
          <w:i/>
        </w:rPr>
        <w:t>ra-ResponseWindow</w:t>
      </w:r>
      <w:r>
        <w:t xml:space="preserve"> and this PDCCH successfully completed the Random Access procedure initiated for beam failure recovery; or</w:t>
      </w:r>
    </w:p>
    <w:p>
      <w:pPr>
        <w:pStyle w:val="77"/>
      </w:pPr>
      <w:r>
        <w:t>2&gt;</w:t>
      </w:r>
      <w:r>
        <w:tab/>
      </w:r>
      <w:r>
        <w:t>if the uplink grant is part of a bundle of the configured uplink grant, and may be used for initial transmission according to clause 6.1.2.3 of TS 38.214 [7], and if no MAC PDU has been obtained for this bundle:</w:t>
      </w:r>
    </w:p>
    <w:p>
      <w:pPr>
        <w:pStyle w:val="78"/>
      </w:pPr>
      <w:r>
        <w:rPr>
          <w:lang w:eastAsia="ko-KR"/>
        </w:rPr>
        <w:t>3&gt;</w:t>
      </w:r>
      <w:r>
        <w:rPr>
          <w:lang w:eastAsia="ko-KR"/>
        </w:rPr>
        <w:tab/>
      </w:r>
      <w:r>
        <w:t xml:space="preserve">if there is a MAC PDU in the </w:t>
      </w:r>
      <w:r>
        <w:rPr>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pPr>
        <w:pStyle w:val="78"/>
      </w:pPr>
      <w:r>
        <w:t>3&gt;</w:t>
      </w:r>
      <w:r>
        <w:tab/>
      </w:r>
      <w:r>
        <w:t>if there is a MAC PDU in the MSGA buffer</w:t>
      </w:r>
      <w:r>
        <w:rPr>
          <w:lang w:eastAsia="zh-CN"/>
        </w:rPr>
        <w:t xml:space="preserve"> and the uplink grant was received in a </w:t>
      </w:r>
      <w:r>
        <w:t>fallbackRAR and this fallbackRAR successfully completed the Random Access procedure:</w:t>
      </w:r>
    </w:p>
    <w:p>
      <w:pPr>
        <w:pStyle w:val="79"/>
      </w:pPr>
      <w:r>
        <w:rPr>
          <w:lang w:eastAsia="ko-KR"/>
        </w:rPr>
        <w:t>4&gt;</w:t>
      </w:r>
      <w:r>
        <w:tab/>
      </w:r>
      <w:r>
        <w:t>obtain the MAC PDU to transmit from the MSGA buffer.</w:t>
      </w:r>
    </w:p>
    <w:p>
      <w:pPr>
        <w:pStyle w:val="78"/>
        <w:rPr>
          <w:lang w:eastAsia="zh-CN"/>
        </w:rPr>
      </w:pPr>
      <w:r>
        <w:t>3&gt;</w:t>
      </w:r>
      <w:r>
        <w:tab/>
      </w:r>
      <w:r>
        <w:t>else if there is a MAC PDU in the Msg3 buffer</w:t>
      </w:r>
      <w:r>
        <w:rPr>
          <w:lang w:eastAsia="zh-CN"/>
        </w:rPr>
        <w:t xml:space="preserve"> and the uplink grant was received in a </w:t>
      </w:r>
      <w:r>
        <w:t>fallbackRAR</w:t>
      </w:r>
      <w:r>
        <w:rPr>
          <w:lang w:eastAsia="zh-CN"/>
        </w:rPr>
        <w:t>:</w:t>
      </w:r>
    </w:p>
    <w:p>
      <w:pPr>
        <w:pStyle w:val="79"/>
        <w:rPr>
          <w:lang w:eastAsia="ko-KR"/>
        </w:rPr>
      </w:pPr>
      <w:r>
        <w:rPr>
          <w:lang w:eastAsia="ko-KR"/>
        </w:rPr>
        <w:t>4&gt;</w:t>
      </w:r>
      <w:r>
        <w:tab/>
      </w:r>
      <w:r>
        <w:t>obtain the MAC PDU to transmit from the Msg3 buffer.</w:t>
      </w:r>
    </w:p>
    <w:p>
      <w:pPr>
        <w:pStyle w:val="78"/>
      </w:pPr>
      <w:r>
        <w:rPr>
          <w:lang w:eastAsia="ko-KR"/>
        </w:rPr>
        <w:t>3&gt;</w:t>
      </w:r>
      <w:r>
        <w:tab/>
      </w:r>
      <w:r>
        <w:t>else if there is a MAC PDU in the Msg3 buffer</w:t>
      </w:r>
      <w:r>
        <w:rPr>
          <w:lang w:eastAsia="zh-CN"/>
        </w:rPr>
        <w:t xml:space="preserve"> and the uplink grant was received in a MAC RAR; or</w:t>
      </w:r>
      <w:r>
        <w:t>:</w:t>
      </w:r>
    </w:p>
    <w:p>
      <w:pPr>
        <w:pStyle w:val="78"/>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79"/>
      </w:pPr>
      <w:r>
        <w:rPr>
          <w:lang w:eastAsia="ko-KR"/>
        </w:rPr>
        <w:t>4&gt;</w:t>
      </w:r>
      <w:r>
        <w:tab/>
      </w:r>
      <w:r>
        <w:t>obtain the MAC PDU to transmit from the Msg3 buffer.</w:t>
      </w:r>
    </w:p>
    <w:p>
      <w:pPr>
        <w:pStyle w:val="79"/>
      </w:pPr>
      <w:r>
        <w:t>4&gt;</w:t>
      </w:r>
      <w:r>
        <w:tab/>
      </w:r>
      <w:r>
        <w:t>if the uplink grant size does not match with size of the obtained MAC PDU; and</w:t>
      </w:r>
    </w:p>
    <w:p>
      <w:pPr>
        <w:pStyle w:val="79"/>
      </w:pPr>
      <w:r>
        <w:t>4&gt;</w:t>
      </w:r>
      <w:r>
        <w:tab/>
      </w:r>
      <w:r>
        <w:t>if the Random Access procedure was successfully completed upon receiving the uplink grant:</w:t>
      </w:r>
    </w:p>
    <w:p>
      <w:pPr>
        <w:pStyle w:val="80"/>
      </w:pPr>
      <w:r>
        <w:t>5&gt;</w:t>
      </w:r>
      <w:r>
        <w:tab/>
      </w:r>
      <w:r>
        <w:t>indicate to the Multiplexing and assembly entity to include MAC subPDU(s) carrying MAC SDU from the obtained MAC PDU in the subsequent uplink transmission;</w:t>
      </w:r>
    </w:p>
    <w:p>
      <w:pPr>
        <w:pStyle w:val="80"/>
      </w:pPr>
      <w:r>
        <w:t>5&gt;</w:t>
      </w:r>
      <w:r>
        <w:tab/>
      </w:r>
      <w:r>
        <w:t>obtain the MAC PDU to transmit from the Multiplexing and assembly entity.</w:t>
      </w:r>
    </w:p>
    <w:p>
      <w:pPr>
        <w:pStyle w:val="78"/>
        <w:rPr>
          <w:lang w:eastAsia="ko-KR"/>
        </w:rPr>
      </w:pPr>
      <w:r>
        <w:rPr>
          <w:lang w:eastAsia="ko-KR"/>
        </w:rPr>
        <w:t>3&gt;</w:t>
      </w:r>
      <w:r>
        <w:rPr>
          <w:lang w:eastAsia="ko-KR"/>
        </w:rPr>
        <w:tab/>
      </w:r>
      <w:r>
        <w:rPr>
          <w:lang w:eastAsia="ko-KR"/>
        </w:rPr>
        <w:t xml:space="preserve">else if this uplink grant is a configured grant configured with </w:t>
      </w:r>
      <w:r>
        <w:rPr>
          <w:i/>
          <w:lang w:eastAsia="ko-KR"/>
        </w:rPr>
        <w:t>autonomousTx</w:t>
      </w:r>
      <w:r>
        <w:rPr>
          <w:lang w:eastAsia="ko-KR"/>
        </w:rPr>
        <w:t>; and</w:t>
      </w:r>
    </w:p>
    <w:p>
      <w:pPr>
        <w:pStyle w:val="78"/>
        <w:rPr>
          <w:lang w:eastAsia="ko-KR"/>
        </w:rPr>
      </w:pPr>
      <w:r>
        <w:rPr>
          <w:lang w:eastAsia="ko-KR"/>
        </w:rPr>
        <w:t>3&gt;</w:t>
      </w:r>
      <w:r>
        <w:rPr>
          <w:lang w:eastAsia="ko-KR"/>
        </w:rPr>
        <w:tab/>
      </w:r>
      <w:r>
        <w:rPr>
          <w:lang w:eastAsia="ko-KR"/>
        </w:rPr>
        <w:t>if the previous configured uplink grant, in the BWP, for this HARQ process was de-prioritized; and</w:t>
      </w:r>
    </w:p>
    <w:p>
      <w:pPr>
        <w:pStyle w:val="78"/>
        <w:rPr>
          <w:lang w:eastAsia="ko-KR"/>
        </w:rPr>
      </w:pPr>
      <w:r>
        <w:rPr>
          <w:lang w:eastAsia="ko-KR"/>
        </w:rPr>
        <w:t>3&gt;</w:t>
      </w:r>
      <w:r>
        <w:rPr>
          <w:lang w:eastAsia="ko-KR"/>
        </w:rPr>
        <w:tab/>
      </w:r>
      <w:r>
        <w:rPr>
          <w:lang w:eastAsia="ko-KR"/>
        </w:rPr>
        <w:t>if a MAC PDU had already been obtained for this HARQ process; and</w:t>
      </w:r>
    </w:p>
    <w:p>
      <w:pPr>
        <w:pStyle w:val="78"/>
        <w:rPr>
          <w:lang w:eastAsia="ko-KR"/>
        </w:rPr>
      </w:pPr>
      <w:r>
        <w:rPr>
          <w:lang w:eastAsia="ko-KR"/>
        </w:rPr>
        <w:t>3&gt;</w:t>
      </w:r>
      <w:r>
        <w:rPr>
          <w:lang w:eastAsia="ko-KR"/>
        </w:rPr>
        <w:tab/>
      </w:r>
      <w:r>
        <w:rPr>
          <w:lang w:eastAsia="ko-KR"/>
        </w:rPr>
        <w:t>if the uplink grant size matches with size of the obtained MAC PDU; and</w:t>
      </w:r>
    </w:p>
    <w:p>
      <w:pPr>
        <w:pStyle w:val="78"/>
        <w:rPr>
          <w:lang w:eastAsia="ko-KR"/>
        </w:rPr>
      </w:pPr>
      <w:r>
        <w:rPr>
          <w:lang w:eastAsia="ko-KR"/>
        </w:rPr>
        <w:t>3&gt;</w:t>
      </w:r>
      <w:r>
        <w:rPr>
          <w:lang w:eastAsia="ko-KR"/>
        </w:rPr>
        <w:tab/>
      </w:r>
      <w:r>
        <w:rPr>
          <w:lang w:eastAsia="ko-KR"/>
        </w:rPr>
        <w:t>if a transmission of the obtained MAC PDU has not been performed:</w:t>
      </w:r>
    </w:p>
    <w:p>
      <w:pPr>
        <w:pStyle w:val="79"/>
        <w:rPr>
          <w:lang w:eastAsia="ko-KR"/>
        </w:rPr>
      </w:pPr>
      <w:r>
        <w:rPr>
          <w:lang w:eastAsia="ko-KR"/>
        </w:rPr>
        <w:t>4&gt;</w:t>
      </w:r>
      <w:r>
        <w:rPr>
          <w:lang w:eastAsia="ko-KR"/>
        </w:rPr>
        <w:tab/>
      </w:r>
      <w:r>
        <w:rPr>
          <w:lang w:eastAsia="ko-KR"/>
        </w:rPr>
        <w:t>consider the MAC PDU has been obtained.</w:t>
      </w:r>
    </w:p>
    <w:p>
      <w:pPr>
        <w:pStyle w:val="78"/>
        <w:rPr>
          <w:rFonts w:eastAsiaTheme="minorEastAsia"/>
          <w:lang w:eastAsia="ko-KR"/>
        </w:rPr>
      </w:pPr>
      <w:r>
        <w:rPr>
          <w:lang w:eastAsia="ko-KR"/>
        </w:rPr>
        <w:t>3&gt;</w:t>
      </w:r>
      <w:r>
        <w:rPr>
          <w:lang w:eastAsia="ko-KR"/>
        </w:rPr>
        <w:tab/>
      </w:r>
      <w:r>
        <w:rPr>
          <w:lang w:eastAsia="ko-KR"/>
        </w:rPr>
        <w:t xml:space="preserve">else if the MAC entity is not configured with </w:t>
      </w:r>
      <w:r>
        <w:rPr>
          <w:i/>
          <w:lang w:eastAsia="ko-KR"/>
        </w:rPr>
        <w:t>lch-basedPrioritization</w:t>
      </w:r>
      <w:r>
        <w:rPr>
          <w:lang w:eastAsia="ko-KR"/>
        </w:rPr>
        <w:t>; or</w:t>
      </w:r>
    </w:p>
    <w:p>
      <w:pPr>
        <w:pStyle w:val="78"/>
        <w:rPr>
          <w:rFonts w:eastAsia="Malgun Gothic"/>
          <w:lang w:eastAsia="ko-KR"/>
        </w:rPr>
      </w:pPr>
      <w:r>
        <w:rPr>
          <w:lang w:eastAsia="ko-KR"/>
        </w:rPr>
        <w:t>3&gt;</w:t>
      </w:r>
      <w:r>
        <w:rPr>
          <w:lang w:eastAsia="ko-KR"/>
        </w:rPr>
        <w:tab/>
      </w:r>
      <w:r>
        <w:rPr>
          <w:lang w:eastAsia="ko-KR"/>
        </w:rPr>
        <w:t>if this uplink grant is a prioritized uplink grant:</w:t>
      </w:r>
    </w:p>
    <w:p>
      <w:pPr>
        <w:pStyle w:val="79"/>
      </w:pPr>
      <w:r>
        <w:rPr>
          <w:lang w:eastAsia="ko-KR"/>
        </w:rPr>
        <w:t>4&gt;</w:t>
      </w:r>
      <w:r>
        <w:tab/>
      </w:r>
      <w:r>
        <w:t>obtain the MAC PDU to transmit from the Multiplexing and assembly entity, if any;</w:t>
      </w:r>
    </w:p>
    <w:p>
      <w:pPr>
        <w:pStyle w:val="78"/>
      </w:pPr>
      <w:r>
        <w:rPr>
          <w:lang w:eastAsia="ko-KR"/>
        </w:rPr>
        <w:t>3&gt;</w:t>
      </w:r>
      <w:r>
        <w:rPr>
          <w:lang w:eastAsia="zh-CN"/>
        </w:rPr>
        <w:tab/>
      </w:r>
      <w:r>
        <w:rPr>
          <w:lang w:eastAsia="zh-CN"/>
        </w:rPr>
        <w:t>if a MAC PDU to transmit has been obtained:</w:t>
      </w:r>
    </w:p>
    <w:p>
      <w:pPr>
        <w:pStyle w:val="79"/>
        <w:rPr>
          <w:lang w:eastAsia="ko-KR"/>
        </w:rPr>
      </w:pPr>
      <w:r>
        <w:rPr>
          <w:lang w:eastAsia="ko-KR"/>
        </w:rPr>
        <w:t>4&gt;</w:t>
      </w:r>
      <w:r>
        <w:rPr>
          <w:lang w:eastAsia="ko-KR"/>
        </w:rPr>
        <w:tab/>
      </w:r>
      <w:r>
        <w:rPr>
          <w:lang w:eastAsia="ko-KR"/>
        </w:rPr>
        <w:t xml:space="preserve">if the uplink grant is not a configured grant configured with </w:t>
      </w:r>
      <w:r>
        <w:rPr>
          <w:i/>
          <w:lang w:eastAsia="ko-KR"/>
        </w:rPr>
        <w:t>autonomousTx</w:t>
      </w:r>
      <w:r>
        <w:rPr>
          <w:lang w:eastAsia="ko-KR"/>
        </w:rPr>
        <w:t>; or</w:t>
      </w:r>
    </w:p>
    <w:p>
      <w:pPr>
        <w:pStyle w:val="79"/>
        <w:rPr>
          <w:lang w:eastAsia="ko-KR"/>
        </w:rPr>
      </w:pPr>
      <w:r>
        <w:rPr>
          <w:lang w:eastAsia="ko-KR"/>
        </w:rPr>
        <w:t>4&gt;</w:t>
      </w:r>
      <w:r>
        <w:rPr>
          <w:lang w:eastAsia="ko-KR"/>
        </w:rPr>
        <w:tab/>
      </w:r>
      <w:r>
        <w:rPr>
          <w:lang w:eastAsia="ko-KR"/>
        </w:rPr>
        <w:t>if the uplink grant is a prioritized uplink grant:</w:t>
      </w:r>
    </w:p>
    <w:p>
      <w:pPr>
        <w:pStyle w:val="80"/>
      </w:pPr>
      <w:r>
        <w:rPr>
          <w:lang w:eastAsia="ko-KR"/>
        </w:rPr>
        <w:t>5&gt;</w:t>
      </w:r>
      <w:r>
        <w:tab/>
      </w:r>
      <w:r>
        <w:t>deliver the MAC PDU and the uplink grant and the HARQ information of the TB</w:t>
      </w:r>
      <w:r>
        <w:rPr>
          <w:lang w:eastAsia="ko-KR"/>
        </w:rPr>
        <w:t xml:space="preserve"> </w:t>
      </w:r>
      <w:r>
        <w:t>to the identified HARQ process;</w:t>
      </w:r>
    </w:p>
    <w:p>
      <w:pPr>
        <w:pStyle w:val="80"/>
        <w:rPr>
          <w:lang w:eastAsia="ko-KR"/>
        </w:rPr>
      </w:pPr>
      <w:r>
        <w:rPr>
          <w:lang w:eastAsia="ko-KR"/>
        </w:rPr>
        <w:t>5&gt;</w:t>
      </w:r>
      <w:r>
        <w:tab/>
      </w:r>
      <w:r>
        <w:t>instruct the identified HARQ process to trigger a new transmission;</w:t>
      </w:r>
    </w:p>
    <w:p>
      <w:pPr>
        <w:pStyle w:val="80"/>
        <w:rPr>
          <w:lang w:eastAsia="ko-KR"/>
        </w:rPr>
      </w:pPr>
      <w:r>
        <w:rPr>
          <w:lang w:eastAsia="ko-KR"/>
        </w:rPr>
        <w:t>5&gt;</w:t>
      </w:r>
      <w:r>
        <w:rPr>
          <w:lang w:eastAsia="ko-KR"/>
        </w:rPr>
        <w:tab/>
      </w:r>
      <w:r>
        <w:rPr>
          <w:lang w:eastAsia="ko-KR"/>
        </w:rPr>
        <w:t>if the uplink grant is a configured uplink grant:</w:t>
      </w:r>
    </w:p>
    <w:p>
      <w:pPr>
        <w:pStyle w:val="112"/>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112"/>
        <w:rPr>
          <w:lang w:eastAsia="ko-KR"/>
        </w:rPr>
      </w:pPr>
      <w:r>
        <w:rPr>
          <w:lang w:eastAsia="ko-KR"/>
        </w:rPr>
        <w:t>6&gt;</w:t>
      </w:r>
      <w:r>
        <w:rPr>
          <w:lang w:eastAsia="ko-KR"/>
        </w:rPr>
        <w:tab/>
      </w:r>
      <w:r>
        <w:rPr>
          <w:lang w:eastAsia="ko-KR"/>
        </w:rPr>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pPr>
        <w:pStyle w:val="80"/>
        <w:rPr>
          <w:lang w:eastAsia="ko-KR"/>
        </w:rPr>
      </w:pPr>
      <w:r>
        <w:rPr>
          <w:lang w:eastAsia="ko-KR"/>
        </w:rPr>
        <w:t>5&gt;</w:t>
      </w:r>
      <w:r>
        <w:rPr>
          <w:lang w:eastAsia="ko-KR"/>
        </w:rPr>
        <w:tab/>
      </w:r>
      <w:r>
        <w:rPr>
          <w:lang w:eastAsia="ko-KR"/>
        </w:rPr>
        <w:t>if the uplink grant is addressed to C-RNTI, and the identified HARQ process is configured for a configured uplink grant:</w:t>
      </w:r>
    </w:p>
    <w:p>
      <w:pPr>
        <w:pStyle w:val="112"/>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80"/>
      </w:pPr>
      <w:r>
        <w:rPr>
          <w:lang w:eastAsia="ko-KR"/>
        </w:rPr>
        <w:t>5&gt;</w:t>
      </w:r>
      <w:r>
        <w:tab/>
      </w:r>
      <w:r>
        <w:t xml:space="preserve">if </w:t>
      </w:r>
      <w:r>
        <w:rPr>
          <w:i/>
          <w:lang w:eastAsia="ko-KR"/>
        </w:rPr>
        <w:t>cg-RetransmissionTimer</w:t>
      </w:r>
      <w:r>
        <w:t xml:space="preserve"> is configured for the identified HARQ process:</w:t>
      </w:r>
    </w:p>
    <w:p>
      <w:pPr>
        <w:pStyle w:val="112"/>
      </w:pPr>
      <w:r>
        <w:rPr>
          <w:lang w:eastAsia="ko-KR"/>
        </w:rPr>
        <w:t>6&gt;</w:t>
      </w:r>
      <w:r>
        <w:tab/>
      </w:r>
      <w:r>
        <w:t>if the transmission is performed and LBT failure indication is not received from lower layers:</w:t>
      </w:r>
    </w:p>
    <w:p>
      <w:pPr>
        <w:pStyle w:val="111"/>
        <w:ind w:left="2268" w:hanging="283"/>
        <w:rPr>
          <w:lang w:eastAsia="ko-KR"/>
        </w:rPr>
      </w:pPr>
      <w:r>
        <w:rPr>
          <w:lang w:eastAsia="ko-KR"/>
        </w:rPr>
        <w:t>7&gt;</w:t>
      </w:r>
      <w:r>
        <w:rPr>
          <w:lang w:eastAsia="ko-KR"/>
        </w:rPr>
        <w:tab/>
      </w:r>
      <w:r>
        <w:t>consider the identified HARQ process as not pending.</w:t>
      </w:r>
    </w:p>
    <w:p>
      <w:pPr>
        <w:pStyle w:val="112"/>
      </w:pPr>
      <w:r>
        <w:rPr>
          <w:lang w:eastAsia="ko-KR"/>
        </w:rPr>
        <w:t>6&gt;</w:t>
      </w:r>
      <w:r>
        <w:tab/>
      </w:r>
      <w:r>
        <w:t>else:</w:t>
      </w:r>
    </w:p>
    <w:p>
      <w:pPr>
        <w:pStyle w:val="111"/>
        <w:ind w:left="2268" w:hanging="283"/>
        <w:rPr>
          <w:lang w:eastAsia="ko-KR"/>
        </w:rPr>
      </w:pPr>
      <w:r>
        <w:rPr>
          <w:lang w:eastAsia="ko-KR"/>
        </w:rPr>
        <w:t>7&gt;</w:t>
      </w:r>
      <w:r>
        <w:rPr>
          <w:lang w:eastAsia="ko-KR"/>
        </w:rPr>
        <w:tab/>
      </w:r>
      <w:r>
        <w:t>consider the identified HARQ process as pending.</w:t>
      </w:r>
    </w:p>
    <w:p>
      <w:pPr>
        <w:pStyle w:val="78"/>
        <w:rPr>
          <w:lang w:eastAsia="ko-KR"/>
        </w:rPr>
      </w:pPr>
      <w:r>
        <w:rPr>
          <w:lang w:eastAsia="ko-KR"/>
        </w:rPr>
        <w:t>3&gt;</w:t>
      </w:r>
      <w:r>
        <w:rPr>
          <w:lang w:eastAsia="ko-KR"/>
        </w:rPr>
        <w:tab/>
      </w:r>
      <w:r>
        <w:rPr>
          <w:lang w:eastAsia="ko-KR"/>
        </w:rPr>
        <w:t>else:</w:t>
      </w:r>
    </w:p>
    <w:p>
      <w:pPr>
        <w:pStyle w:val="79"/>
        <w:rPr>
          <w:lang w:eastAsia="ko-KR"/>
        </w:rPr>
      </w:pPr>
      <w:r>
        <w:rPr>
          <w:lang w:eastAsia="ko-KR"/>
        </w:rPr>
        <w:t>4&gt;</w:t>
      </w:r>
      <w:r>
        <w:rPr>
          <w:lang w:eastAsia="ko-KR"/>
        </w:rPr>
        <w:tab/>
      </w:r>
      <w:r>
        <w:rPr>
          <w:lang w:eastAsia="ko-KR"/>
        </w:rPr>
        <w:t>flush the HARQ buffer of the identified HARQ process.</w:t>
      </w:r>
    </w:p>
    <w:p>
      <w:pPr>
        <w:pStyle w:val="77"/>
      </w:pPr>
      <w:r>
        <w:rPr>
          <w:lang w:eastAsia="ko-KR"/>
        </w:rPr>
        <w:t>2&gt;</w:t>
      </w:r>
      <w:r>
        <w:tab/>
      </w:r>
      <w:r>
        <w:t>else (i.e. retransmission):</w:t>
      </w:r>
    </w:p>
    <w:p>
      <w:pPr>
        <w:pStyle w:val="78"/>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78"/>
        <w:rPr>
          <w:lang w:eastAsia="ko-KR"/>
        </w:rPr>
      </w:pPr>
      <w:r>
        <w:rPr>
          <w:lang w:eastAsia="ko-KR"/>
        </w:rPr>
        <w:t>3&gt;</w:t>
      </w:r>
      <w:r>
        <w:rPr>
          <w:lang w:eastAsia="ko-KR"/>
        </w:rPr>
        <w:tab/>
      </w:r>
      <w:r>
        <w:rPr>
          <w:lang w:eastAsia="ko-KR"/>
        </w:rPr>
        <w:t>if the uplink grant is part of a bundle and if no MAC PDU has been obtained for this bundle; or</w:t>
      </w:r>
    </w:p>
    <w:p>
      <w:pPr>
        <w:pStyle w:val="78"/>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pPr>
        <w:pStyle w:val="78"/>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79"/>
        <w:rPr>
          <w:lang w:eastAsia="ko-KR"/>
        </w:rPr>
      </w:pPr>
      <w:r>
        <w:rPr>
          <w:lang w:eastAsia="ko-KR"/>
        </w:rPr>
        <w:t>4&gt;</w:t>
      </w:r>
      <w:r>
        <w:rPr>
          <w:lang w:eastAsia="ko-KR"/>
        </w:rPr>
        <w:tab/>
      </w:r>
      <w:r>
        <w:rPr>
          <w:lang w:eastAsia="ko-KR"/>
        </w:rPr>
        <w:t>ignore the uplink grant.</w:t>
      </w:r>
    </w:p>
    <w:p>
      <w:pPr>
        <w:pStyle w:val="78"/>
        <w:rPr>
          <w:lang w:eastAsia="ko-KR"/>
        </w:rPr>
      </w:pPr>
      <w:r>
        <w:rPr>
          <w:lang w:eastAsia="ko-KR"/>
        </w:rPr>
        <w:t>3&gt;</w:t>
      </w:r>
      <w:r>
        <w:rPr>
          <w:lang w:eastAsia="ko-KR"/>
        </w:rPr>
        <w:tab/>
      </w:r>
      <w:r>
        <w:rPr>
          <w:lang w:eastAsia="ko-KR"/>
        </w:rPr>
        <w:t>else:</w:t>
      </w:r>
    </w:p>
    <w:p>
      <w:pPr>
        <w:pStyle w:val="79"/>
      </w:pPr>
      <w:r>
        <w:rPr>
          <w:lang w:eastAsia="ko-KR"/>
        </w:rPr>
        <w:t>4&gt;</w:t>
      </w:r>
      <w:r>
        <w:tab/>
      </w:r>
      <w:r>
        <w:t>deliver the uplink grant and the HARQ information (redundancy version) of the TB to the identified HARQ process;</w:t>
      </w:r>
    </w:p>
    <w:p>
      <w:pPr>
        <w:pStyle w:val="79"/>
        <w:rPr>
          <w:lang w:eastAsia="ko-KR"/>
        </w:rPr>
      </w:pPr>
      <w:r>
        <w:rPr>
          <w:lang w:eastAsia="ko-KR"/>
        </w:rPr>
        <w:t>4&gt;</w:t>
      </w:r>
      <w:r>
        <w:tab/>
      </w:r>
      <w:r>
        <w:t xml:space="preserve">instruct the identified HARQ process to </w:t>
      </w:r>
      <w:r>
        <w:rPr>
          <w:lang w:eastAsia="ko-KR"/>
        </w:rPr>
        <w:t>trigger a</w:t>
      </w:r>
      <w:r>
        <w:t xml:space="preserve"> retransmission;</w:t>
      </w:r>
    </w:p>
    <w:p>
      <w:pPr>
        <w:pStyle w:val="79"/>
        <w:rPr>
          <w:lang w:eastAsia="ko-KR"/>
        </w:rPr>
      </w:pPr>
      <w:r>
        <w:rPr>
          <w:lang w:eastAsia="ko-KR"/>
        </w:rPr>
        <w:t>4&gt;</w:t>
      </w:r>
      <w:r>
        <w:rPr>
          <w:lang w:eastAsia="ko-KR"/>
        </w:rPr>
        <w:tab/>
      </w:r>
      <w:r>
        <w:rPr>
          <w:lang w:eastAsia="ko-KR"/>
        </w:rPr>
        <w:t>if the uplink grant is addressed to CS-RNTI; or</w:t>
      </w:r>
    </w:p>
    <w:p>
      <w:pPr>
        <w:pStyle w:val="79"/>
        <w:rPr>
          <w:lang w:eastAsia="ko-KR"/>
        </w:rPr>
      </w:pPr>
      <w:r>
        <w:rPr>
          <w:lang w:eastAsia="ko-KR"/>
        </w:rPr>
        <w:t>4&gt;</w:t>
      </w:r>
      <w:r>
        <w:rPr>
          <w:lang w:eastAsia="ko-KR"/>
        </w:rPr>
        <w:tab/>
      </w:r>
      <w:r>
        <w:rPr>
          <w:lang w:eastAsia="ko-KR"/>
        </w:rPr>
        <w:t>if the uplink grant is addressed to C-RNTI, and the identified HARQ process is configured for a configured uplink grant:</w:t>
      </w:r>
    </w:p>
    <w:p>
      <w:pPr>
        <w:pStyle w:val="80"/>
        <w:rPr>
          <w:lang w:eastAsia="ko-KR"/>
        </w:rPr>
      </w:pPr>
      <w:r>
        <w:rPr>
          <w:lang w:eastAsia="ko-KR"/>
        </w:rPr>
        <w:t>5&gt;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79"/>
        <w:rPr>
          <w:lang w:eastAsia="ko-KR"/>
        </w:rPr>
      </w:pPr>
      <w:r>
        <w:rPr>
          <w:lang w:eastAsia="ko-KR"/>
        </w:rPr>
        <w:t>4&gt;</w:t>
      </w:r>
      <w:r>
        <w:rPr>
          <w:lang w:eastAsia="ko-KR"/>
        </w:rPr>
        <w:tab/>
      </w:r>
      <w:r>
        <w:rPr>
          <w:lang w:eastAsia="ko-KR"/>
        </w:rPr>
        <w:t>if the uplink grant is a configured uplink grant:</w:t>
      </w:r>
    </w:p>
    <w:p>
      <w:pPr>
        <w:pStyle w:val="80"/>
        <w:rPr>
          <w:lang w:eastAsia="ko-KR"/>
        </w:rPr>
      </w:pPr>
      <w:r>
        <w:rPr>
          <w:lang w:eastAsia="ko-KR"/>
        </w:rPr>
        <w:t>5&gt;</w:t>
      </w:r>
      <w:r>
        <w:rPr>
          <w:lang w:eastAsia="ko-KR"/>
        </w:rPr>
        <w:tab/>
      </w:r>
      <w:r>
        <w:rPr>
          <w:lang w:eastAsia="ko-KR"/>
        </w:rPr>
        <w:t>if the identified HARQ process is pending:</w:t>
      </w:r>
    </w:p>
    <w:p>
      <w:pPr>
        <w:pStyle w:val="112"/>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when the transmission is performed if LBT failure indication is not received from lower layers;</w:t>
      </w:r>
    </w:p>
    <w:p>
      <w:pPr>
        <w:pStyle w:val="80"/>
        <w:rPr>
          <w:lang w:eastAsia="ko-KR"/>
        </w:rPr>
      </w:pPr>
      <w:r>
        <w:rPr>
          <w:lang w:eastAsia="ko-KR"/>
        </w:rPr>
        <w:t>5&gt;</w:t>
      </w:r>
      <w:r>
        <w:rPr>
          <w:lang w:eastAsia="ko-KR"/>
        </w:rPr>
        <w:tab/>
      </w:r>
      <w:r>
        <w:rPr>
          <w:lang w:eastAsia="ko-KR"/>
        </w:rPr>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pPr>
        <w:pStyle w:val="79"/>
      </w:pPr>
      <w:r>
        <w:rPr>
          <w:lang w:eastAsia="ko-KR"/>
        </w:rPr>
        <w:t>4&gt;</w:t>
      </w:r>
      <w:r>
        <w:tab/>
      </w:r>
      <w:r>
        <w:t>if the identified HARQ process is pending and the transmission is performed and LBT failure indication is not received from lower layers:</w:t>
      </w:r>
    </w:p>
    <w:p>
      <w:pPr>
        <w:pStyle w:val="80"/>
      </w:pPr>
      <w:r>
        <w:rPr>
          <w:lang w:eastAsia="ko-KR"/>
        </w:rPr>
        <w:t>5&gt;</w:t>
      </w:r>
      <w:r>
        <w:tab/>
      </w:r>
      <w:r>
        <w:t>consider the identified HARQ process as not pending.</w:t>
      </w:r>
    </w:p>
    <w:p>
      <w:r>
        <w:t>When determining if NDI has been toggled compared to the value in the previous transmission the MAC entity shall ignore NDI received in all uplink grants on PDCCH for its Temporary C-RNTI.</w:t>
      </w:r>
    </w:p>
    <w:p>
      <w:pPr>
        <w:pStyle w:val="57"/>
        <w:overflowPunct w:val="0"/>
        <w:autoSpaceDE w:val="0"/>
        <w:autoSpaceDN w:val="0"/>
        <w:adjustRightInd w:val="0"/>
        <w:textAlignment w:val="baseline"/>
        <w:rPr>
          <w:ins w:id="0" w:author="吴昱民" w:date="2020-08-03T11:06:00Z"/>
          <w:rFonts w:eastAsia="PMingLiU"/>
          <w:lang w:eastAsia="zh-TW"/>
        </w:rPr>
      </w:pPr>
      <w:ins w:id="1" w:author="吴昱民" w:date="2020-08-03T11:06:00Z">
        <w:r>
          <w:rPr>
            <w:rFonts w:eastAsia="Times New Roman"/>
            <w:lang w:eastAsia="ko-KR"/>
          </w:rPr>
          <w:t>NOTE</w:t>
        </w:r>
      </w:ins>
      <w:ins w:id="2" w:author="吴昱民" w:date="2020-08-03T11:06:00Z">
        <w:r>
          <w:rPr>
            <w:lang w:eastAsia="ko-KR"/>
          </w:rPr>
          <w:t>:</w:t>
        </w:r>
      </w:ins>
      <w:ins w:id="3" w:author="吴昱民" w:date="2020-08-03T11:06:00Z">
        <w:r>
          <w:rPr>
            <w:lang w:eastAsia="ko-KR"/>
          </w:rPr>
          <w:tab/>
        </w:r>
      </w:ins>
      <w:ins w:id="4" w:author="吴昱民" w:date="2020-08-03T11:06:00Z">
        <w:r>
          <w:rPr/>
          <w:t>It is up to the UE implementation to determine the closest available next configured grant configured with autonomousTx for the transmission of the MAC PDU of the same HARQ process of the previously de-prioritized uplink grant.</w:t>
        </w:r>
      </w:ins>
    </w:p>
    <w:p>
      <w:pPr>
        <w:spacing w:after="0"/>
      </w:pPr>
    </w:p>
    <w:p>
      <w:pPr>
        <w:pStyle w:val="57"/>
        <w:overflowPunct w:val="0"/>
        <w:autoSpaceDE w:val="0"/>
        <w:autoSpaceDN w:val="0"/>
        <w:adjustRightInd w:val="0"/>
        <w:textAlignment w:val="baseline"/>
        <w:rPr>
          <w:rFonts w:eastAsia="PMingLiU"/>
          <w:lang w:eastAsia="zh-TW"/>
        </w:rPr>
      </w:pPr>
    </w:p>
    <w:p>
      <w:pPr>
        <w:pBdr>
          <w:top w:val="single" w:color="auto" w:sz="4" w:space="1"/>
          <w:left w:val="single" w:color="auto" w:sz="4" w:space="4"/>
          <w:bottom w:val="single" w:color="auto" w:sz="4" w:space="1"/>
          <w:right w:val="single" w:color="auto" w:sz="4" w:space="4"/>
        </w:pBdr>
        <w:shd w:val="clear" w:color="auto" w:fill="FFC000"/>
        <w:jc w:val="center"/>
        <w:rPr>
          <w:sz w:val="32"/>
        </w:rPr>
      </w:pPr>
      <w:r>
        <w:rPr>
          <w:sz w:val="32"/>
        </w:rPr>
        <w:t>End of Change</w:t>
      </w:r>
    </w:p>
    <w:p>
      <w:pPr>
        <w:rPr>
          <w:lang w:eastAsia="zh-TW"/>
        </w:rPr>
      </w:pPr>
    </w:p>
    <w:p>
      <w:pPr>
        <w:spacing w:after="0"/>
      </w:pPr>
    </w:p>
    <w:sectPr>
      <w:headerReference r:id="rId3" w:type="default"/>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4F30B2"/>
    <w:multiLevelType w:val="multilevel"/>
    <w:tmpl w:val="454F30B2"/>
    <w:lvl w:ilvl="0" w:tentative="0">
      <w:start w:val="1"/>
      <w:numFmt w:val="bullet"/>
      <w:lvlText w:val=""/>
      <w:lvlJc w:val="left"/>
      <w:pPr>
        <w:ind w:left="820" w:hanging="360"/>
      </w:pPr>
      <w:rPr>
        <w:rFonts w:hint="default" w:ascii="Wingdings" w:hAnsi="Wingdings"/>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
    <w:nsid w:val="70146DC0"/>
    <w:multiLevelType w:val="multilevel"/>
    <w:tmpl w:val="70146DC0"/>
    <w:lvl w:ilvl="0" w:tentative="0">
      <w:start w:val="1"/>
      <w:numFmt w:val="bullet"/>
      <w:pStyle w:val="11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isplayBackgroundShape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904DB"/>
    <w:rsid w:val="000D0BD0"/>
    <w:rsid w:val="000F5DD9"/>
    <w:rsid w:val="000F740C"/>
    <w:rsid w:val="00101FD8"/>
    <w:rsid w:val="001B68DD"/>
    <w:rsid w:val="001C58D7"/>
    <w:rsid w:val="001D0146"/>
    <w:rsid w:val="00234DCE"/>
    <w:rsid w:val="00237C1D"/>
    <w:rsid w:val="00251F93"/>
    <w:rsid w:val="00252995"/>
    <w:rsid w:val="00350560"/>
    <w:rsid w:val="0036292E"/>
    <w:rsid w:val="00367AEB"/>
    <w:rsid w:val="003A06B1"/>
    <w:rsid w:val="00437014"/>
    <w:rsid w:val="00460AC3"/>
    <w:rsid w:val="005B0DDB"/>
    <w:rsid w:val="00677C53"/>
    <w:rsid w:val="006E58D3"/>
    <w:rsid w:val="006F193C"/>
    <w:rsid w:val="00833117"/>
    <w:rsid w:val="00864ADB"/>
    <w:rsid w:val="009102EE"/>
    <w:rsid w:val="009112A0"/>
    <w:rsid w:val="00912E02"/>
    <w:rsid w:val="00957A54"/>
    <w:rsid w:val="0099000F"/>
    <w:rsid w:val="009A0F24"/>
    <w:rsid w:val="009A73EE"/>
    <w:rsid w:val="009E0F48"/>
    <w:rsid w:val="00A72423"/>
    <w:rsid w:val="00A73441"/>
    <w:rsid w:val="00A80D03"/>
    <w:rsid w:val="00AF2F4E"/>
    <w:rsid w:val="00BD08A5"/>
    <w:rsid w:val="00BD21D1"/>
    <w:rsid w:val="00C34B24"/>
    <w:rsid w:val="00CE4D9C"/>
    <w:rsid w:val="00D85B03"/>
    <w:rsid w:val="00E22B7D"/>
    <w:rsid w:val="00E978CF"/>
    <w:rsid w:val="00EA5C04"/>
    <w:rsid w:val="00EB54C0"/>
    <w:rsid w:val="00F1778F"/>
    <w:rsid w:val="00FE691B"/>
    <w:rsid w:val="2CE65FB0"/>
    <w:rsid w:val="3FDE10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semiHidden="0" w:name="toc 5"/>
    <w:lsdException w:unhideWhenUsed="0" w:uiPriority="0" w:name="toc 6"/>
    <w:lsdException w:unhideWhenUsed="0" w:uiPriority="0" w:name="toc 7"/>
    <w:lsdException w:unhideWhenUsed="0" w:uiPriority="39" w:semiHidden="0" w:name="toc 8"/>
    <w:lsdException w:unhideWhenUsed="0" w:uiPriority="0" w:name="toc 9"/>
    <w:lsdException w:uiPriority="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uiPriority w:val="0"/>
    <w:pPr>
      <w:tabs>
        <w:tab w:val="right" w:leader="dot" w:pos="9639"/>
      </w:tabs>
      <w:ind w:left="1701" w:hanging="1701"/>
    </w:pPr>
  </w:style>
  <w:style w:type="paragraph" w:styleId="20">
    <w:name w:val="toc 4"/>
    <w:basedOn w:val="21"/>
    <w:next w:val="1"/>
    <w:uiPriority w:val="39"/>
    <w:pPr>
      <w:tabs>
        <w:tab w:val="right" w:leader="dot" w:pos="9639"/>
      </w:tabs>
      <w:ind w:left="1418" w:hanging="1418"/>
    </w:pPr>
  </w:style>
  <w:style w:type="paragraph" w:styleId="21">
    <w:name w:val="toc 3"/>
    <w:basedOn w:val="22"/>
    <w:next w:val="1"/>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uiPriority w:val="0"/>
    <w:pPr>
      <w:ind w:left="851"/>
    </w:pPr>
  </w:style>
  <w:style w:type="paragraph" w:styleId="25">
    <w:name w:val="List Number"/>
    <w:basedOn w:val="14"/>
    <w:qFormat/>
    <w:uiPriority w:val="0"/>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104"/>
    <w:uiPriority w:val="0"/>
    <w:pPr>
      <w:overflowPunct w:val="0"/>
      <w:autoSpaceDE w:val="0"/>
      <w:autoSpaceDN w:val="0"/>
      <w:adjustRightInd w:val="0"/>
      <w:textAlignment w:val="baseline"/>
    </w:pPr>
    <w:rPr>
      <w:rFonts w:eastAsia="Batang"/>
      <w:lang w:eastAsia="ja-JP"/>
    </w:rPr>
  </w:style>
  <w:style w:type="paragraph" w:styleId="32">
    <w:name w:val="List Bullet 5"/>
    <w:basedOn w:val="26"/>
    <w:qFormat/>
    <w:uiPriority w:val="0"/>
    <w:pPr>
      <w:ind w:left="1702"/>
    </w:pPr>
  </w:style>
  <w:style w:type="paragraph" w:styleId="33">
    <w:name w:val="toc 8"/>
    <w:basedOn w:val="23"/>
    <w:next w:val="1"/>
    <w:uiPriority w:val="39"/>
    <w:pPr>
      <w:spacing w:before="180"/>
      <w:ind w:left="2693" w:hanging="2693"/>
    </w:pPr>
    <w:rPr>
      <w:b/>
    </w:rPr>
  </w:style>
  <w:style w:type="paragraph" w:styleId="34">
    <w:name w:val="Balloon Text"/>
    <w:basedOn w:val="1"/>
    <w:link w:val="94"/>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9"/>
    <w:qFormat/>
    <w:uiPriority w:val="0"/>
    <w:pPr>
      <w:widowControl w:val="0"/>
    </w:pPr>
    <w:rPr>
      <w:rFonts w:ascii="Arial" w:hAnsi="Arial" w:eastAsia="宋体" w:cs="Times New Roman"/>
      <w:b/>
      <w:sz w:val="18"/>
      <w:lang w:val="en-GB" w:eastAsia="en-US" w:bidi="ar-SA"/>
    </w:rPr>
  </w:style>
  <w:style w:type="paragraph" w:styleId="37">
    <w:name w:val="footnote text"/>
    <w:basedOn w:val="1"/>
    <w:link w:val="93"/>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3"/>
    <w:next w:val="1"/>
    <w:semiHidden/>
    <w:uiPriority w:val="0"/>
    <w:pPr>
      <w:ind w:left="1418" w:hanging="1418"/>
    </w:pPr>
  </w:style>
  <w:style w:type="paragraph" w:styleId="41">
    <w:name w:val="index 1"/>
    <w:basedOn w:val="1"/>
    <w:next w:val="1"/>
    <w:uiPriority w:val="0"/>
    <w:pPr>
      <w:keepLines/>
      <w:spacing w:after="0"/>
    </w:pPr>
  </w:style>
  <w:style w:type="paragraph" w:styleId="42">
    <w:name w:val="index 2"/>
    <w:basedOn w:val="41"/>
    <w:next w:val="1"/>
    <w:uiPriority w:val="0"/>
    <w:pPr>
      <w:ind w:left="284"/>
    </w:pPr>
  </w:style>
  <w:style w:type="character" w:styleId="44">
    <w:name w:val="FollowedHyperlink"/>
    <w:uiPriority w:val="0"/>
    <w:rPr>
      <w:color w:val="800080"/>
      <w:u w:val="single"/>
    </w:rPr>
  </w:style>
  <w:style w:type="character" w:styleId="45">
    <w:name w:val="Hyperlink"/>
    <w:qFormat/>
    <w:uiPriority w:val="99"/>
    <w:rPr>
      <w:color w:val="0000FF"/>
      <w:u w:val="single"/>
    </w:rPr>
  </w:style>
  <w:style w:type="character" w:styleId="46">
    <w:name w:val="annotation reference"/>
    <w:semiHidden/>
    <w:qFormat/>
    <w:uiPriority w:val="0"/>
    <w:rPr>
      <w:sz w:val="16"/>
    </w:rPr>
  </w:style>
  <w:style w:type="character" w:styleId="47">
    <w:name w:val="footnote reference"/>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9"/>
    <w:uiPriority w:val="0"/>
    <w:rPr>
      <w:b/>
    </w:rPr>
  </w:style>
  <w:style w:type="paragraph" w:customStyle="1" w:styleId="53">
    <w:name w:val="TAC"/>
    <w:basedOn w:val="54"/>
    <w:link w:val="98"/>
    <w:uiPriority w:val="0"/>
    <w:pPr>
      <w:jc w:val="center"/>
    </w:pPr>
  </w:style>
  <w:style w:type="paragraph" w:customStyle="1" w:styleId="54">
    <w:name w:val="TAL"/>
    <w:basedOn w:val="1"/>
    <w:link w:val="97"/>
    <w:qFormat/>
    <w:uiPriority w:val="0"/>
    <w:pPr>
      <w:keepNext/>
      <w:keepLines/>
      <w:spacing w:after="0"/>
    </w:pPr>
    <w:rPr>
      <w:rFonts w:ascii="Arial" w:hAnsi="Arial"/>
      <w:sz w:val="18"/>
    </w:rPr>
  </w:style>
  <w:style w:type="paragraph" w:customStyle="1" w:styleId="55">
    <w:name w:val="TF"/>
    <w:basedOn w:val="56"/>
    <w:link w:val="88"/>
    <w:uiPriority w:val="0"/>
    <w:pPr>
      <w:keepNext w:val="0"/>
      <w:spacing w:before="0" w:after="240"/>
    </w:pPr>
  </w:style>
  <w:style w:type="paragraph" w:customStyle="1" w:styleId="56">
    <w:name w:val="TH"/>
    <w:basedOn w:val="1"/>
    <w:link w:val="87"/>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6"/>
    <w:qFormat/>
    <w:uiPriority w:val="0"/>
  </w:style>
  <w:style w:type="paragraph" w:customStyle="1" w:styleId="77">
    <w:name w:val="B2"/>
    <w:basedOn w:val="13"/>
    <w:link w:val="89"/>
    <w:qFormat/>
    <w:uiPriority w:val="0"/>
  </w:style>
  <w:style w:type="paragraph" w:customStyle="1" w:styleId="78">
    <w:name w:val="B3"/>
    <w:basedOn w:val="12"/>
    <w:link w:val="90"/>
    <w:qFormat/>
    <w:uiPriority w:val="0"/>
  </w:style>
  <w:style w:type="paragraph" w:customStyle="1" w:styleId="79">
    <w:name w:val="B4"/>
    <w:basedOn w:val="39"/>
    <w:link w:val="91"/>
    <w:qFormat/>
    <w:uiPriority w:val="0"/>
  </w:style>
  <w:style w:type="paragraph" w:customStyle="1" w:styleId="80">
    <w:name w:val="B5"/>
    <w:basedOn w:val="38"/>
    <w:link w:val="115"/>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Heading 4 Char"/>
    <w:link w:val="5"/>
    <w:locked/>
    <w:uiPriority w:val="0"/>
    <w:rPr>
      <w:rFonts w:ascii="Arial" w:hAnsi="Arial"/>
      <w:sz w:val="24"/>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locked/>
    <w:uiPriority w:val="0"/>
    <w:rPr>
      <w:rFonts w:ascii="Arial" w:hAnsi="Arial"/>
      <w:b/>
      <w:lang w:val="en-GB" w:eastAsia="en-US"/>
    </w:rPr>
  </w:style>
  <w:style w:type="character" w:customStyle="1" w:styleId="89">
    <w:name w:val="B2 Char"/>
    <w:link w:val="77"/>
    <w:qFormat/>
    <w:uiPriority w:val="0"/>
    <w:rPr>
      <w:rFonts w:ascii="Times New Roman" w:hAnsi="Times New Roman"/>
      <w:lang w:val="en-GB" w:eastAsia="en-US"/>
    </w:rPr>
  </w:style>
  <w:style w:type="character" w:customStyle="1" w:styleId="90">
    <w:name w:val="B3 Char2"/>
    <w:link w:val="78"/>
    <w:qFormat/>
    <w:uiPriority w:val="0"/>
    <w:rPr>
      <w:rFonts w:ascii="Times New Roman" w:hAnsi="Times New Roman"/>
      <w:lang w:val="en-GB" w:eastAsia="en-US"/>
    </w:rPr>
  </w:style>
  <w:style w:type="character" w:customStyle="1" w:styleId="91">
    <w:name w:val="B4 Char"/>
    <w:link w:val="79"/>
    <w:qFormat/>
    <w:uiPriority w:val="0"/>
    <w:rPr>
      <w:rFonts w:ascii="Times New Roman" w:hAnsi="Times New Roman"/>
      <w:lang w:val="en-GB" w:eastAsia="en-US"/>
    </w:rPr>
  </w:style>
  <w:style w:type="paragraph" w:customStyle="1" w:styleId="92">
    <w:name w:val="Revision"/>
    <w:hidden/>
    <w:semiHidden/>
    <w:qFormat/>
    <w:uiPriority w:val="99"/>
    <w:rPr>
      <w:rFonts w:ascii="Times New Roman" w:hAnsi="Times New Roman" w:eastAsia="宋体" w:cs="Times New Roman"/>
      <w:lang w:val="en-GB" w:eastAsia="en-US" w:bidi="ar-SA"/>
    </w:rPr>
  </w:style>
  <w:style w:type="character" w:customStyle="1" w:styleId="93">
    <w:name w:val="Footnote Text Char"/>
    <w:link w:val="37"/>
    <w:qFormat/>
    <w:uiPriority w:val="0"/>
    <w:rPr>
      <w:rFonts w:ascii="Times New Roman" w:hAnsi="Times New Roman"/>
      <w:sz w:val="16"/>
      <w:lang w:val="en-GB" w:eastAsia="en-US"/>
    </w:rPr>
  </w:style>
  <w:style w:type="character" w:customStyle="1" w:styleId="94">
    <w:name w:val="Balloon Text Char"/>
    <w:link w:val="34"/>
    <w:qFormat/>
    <w:uiPriority w:val="0"/>
    <w:rPr>
      <w:rFonts w:ascii="Tahoma" w:hAnsi="Tahoma" w:cs="Tahoma"/>
      <w:sz w:val="16"/>
      <w:szCs w:val="16"/>
      <w:lang w:val="en-GB" w:eastAsia="en-US"/>
    </w:rPr>
  </w:style>
  <w:style w:type="paragraph" w:customStyle="1" w:styleId="95">
    <w:name w:val="Guidance"/>
    <w:basedOn w:val="1"/>
    <w:uiPriority w:val="0"/>
    <w:pPr>
      <w:overflowPunct w:val="0"/>
      <w:autoSpaceDE w:val="0"/>
      <w:autoSpaceDN w:val="0"/>
      <w:adjustRightInd w:val="0"/>
    </w:pPr>
    <w:rPr>
      <w:i/>
      <w:color w:val="0000FF"/>
      <w:lang w:eastAsia="ja-JP"/>
    </w:rPr>
  </w:style>
  <w:style w:type="paragraph" w:customStyle="1" w:styleId="96">
    <w:name w:val="TAJ"/>
    <w:basedOn w:val="56"/>
    <w:qFormat/>
    <w:uiPriority w:val="0"/>
    <w:rPr>
      <w:lang w:val="zh-CN"/>
    </w:rPr>
  </w:style>
  <w:style w:type="character" w:customStyle="1" w:styleId="97">
    <w:name w:val="TAL Car"/>
    <w:link w:val="54"/>
    <w:qFormat/>
    <w:uiPriority w:val="0"/>
    <w:rPr>
      <w:rFonts w:ascii="Arial" w:hAnsi="Arial"/>
      <w:sz w:val="18"/>
      <w:lang w:val="en-GB" w:eastAsia="en-US"/>
    </w:rPr>
  </w:style>
  <w:style w:type="character" w:customStyle="1" w:styleId="98">
    <w:name w:val="TAC Char"/>
    <w:link w:val="53"/>
    <w:uiPriority w:val="0"/>
    <w:rPr>
      <w:rFonts w:ascii="Arial" w:hAnsi="Arial"/>
      <w:sz w:val="18"/>
      <w:lang w:val="en-GB" w:eastAsia="en-US"/>
    </w:rPr>
  </w:style>
  <w:style w:type="character" w:customStyle="1" w:styleId="99">
    <w:name w:val="TAH Car"/>
    <w:link w:val="52"/>
    <w:locked/>
    <w:uiPriority w:val="0"/>
    <w:rPr>
      <w:rFonts w:ascii="Arial" w:hAnsi="Arial"/>
      <w:b/>
      <w:sz w:val="18"/>
      <w:lang w:val="en-GB" w:eastAsia="en-US"/>
    </w:rPr>
  </w:style>
  <w:style w:type="character" w:customStyle="1" w:styleId="100">
    <w:name w:val="TF Zchn"/>
    <w:qFormat/>
    <w:locked/>
    <w:uiPriority w:val="0"/>
    <w:rPr>
      <w:rFonts w:ascii="Arial" w:hAnsi="Arial"/>
      <w:b/>
      <w:lang w:eastAsia="en-US"/>
    </w:rPr>
  </w:style>
  <w:style w:type="character" w:customStyle="1" w:styleId="101">
    <w:name w:val="B2 Car"/>
    <w:uiPriority w:val="0"/>
    <w:rPr>
      <w:lang w:eastAsia="en-US"/>
    </w:rPr>
  </w:style>
  <w:style w:type="character" w:customStyle="1" w:styleId="102">
    <w:name w:val="B3 Char"/>
    <w:qFormat/>
    <w:uiPriority w:val="0"/>
    <w:rPr>
      <w:lang w:eastAsia="en-US"/>
    </w:rPr>
  </w:style>
  <w:style w:type="paragraph" w:styleId="103">
    <w:name w:val="List Paragraph"/>
    <w:basedOn w:val="1"/>
    <w:qFormat/>
    <w:uiPriority w:val="34"/>
    <w:pPr>
      <w:overflowPunct w:val="0"/>
      <w:autoSpaceDE w:val="0"/>
      <w:autoSpaceDN w:val="0"/>
      <w:adjustRightInd w:val="0"/>
      <w:ind w:left="800" w:leftChars="400"/>
      <w:textAlignment w:val="baseline"/>
    </w:pPr>
    <w:rPr>
      <w:rFonts w:eastAsia="MS Mincho"/>
      <w:lang w:eastAsia="ja-JP"/>
    </w:rPr>
  </w:style>
  <w:style w:type="character" w:customStyle="1" w:styleId="104">
    <w:name w:val="Body Text Char"/>
    <w:link w:val="31"/>
    <w:qFormat/>
    <w:uiPriority w:val="0"/>
    <w:rPr>
      <w:rFonts w:ascii="Times New Roman" w:hAnsi="Times New Roman" w:eastAsia="Batang"/>
      <w:lang w:val="en-GB" w:eastAsia="ja-JP"/>
    </w:rPr>
  </w:style>
  <w:style w:type="character" w:customStyle="1" w:styleId="105">
    <w:name w:val="msoins"/>
    <w:basedOn w:val="43"/>
    <w:qFormat/>
    <w:uiPriority w:val="0"/>
  </w:style>
  <w:style w:type="paragraph" w:customStyle="1" w:styleId="106">
    <w:name w:val="Doc-text2"/>
    <w:basedOn w:val="1"/>
    <w:link w:val="107"/>
    <w:qFormat/>
    <w:uiPriority w:val="0"/>
    <w:pPr>
      <w:tabs>
        <w:tab w:val="left" w:pos="1622"/>
      </w:tabs>
      <w:spacing w:after="0"/>
      <w:ind w:left="1622" w:hanging="363"/>
    </w:pPr>
    <w:rPr>
      <w:rFonts w:ascii="Arial" w:hAnsi="Arial" w:eastAsia="MS Mincho"/>
      <w:szCs w:val="24"/>
      <w:lang w:val="zh-CN" w:eastAsia="en-GB"/>
    </w:rPr>
  </w:style>
  <w:style w:type="character" w:customStyle="1" w:styleId="107">
    <w:name w:val="Doc-text2 Char"/>
    <w:link w:val="106"/>
    <w:qFormat/>
    <w:uiPriority w:val="0"/>
    <w:rPr>
      <w:rFonts w:ascii="Arial" w:hAnsi="Arial" w:eastAsia="MS Mincho"/>
      <w:szCs w:val="24"/>
      <w:lang w:val="zh-CN" w:eastAsia="en-GB"/>
    </w:rPr>
  </w:style>
  <w:style w:type="character" w:customStyle="1" w:styleId="108">
    <w:name w:val="B1 Zchn"/>
    <w:qFormat/>
    <w:uiPriority w:val="0"/>
    <w:rPr>
      <w:rFonts w:ascii="Times New Roman" w:hAnsi="Times New Roman" w:eastAsia="MS Mincho" w:cs="Times New Roman"/>
      <w:kern w:val="0"/>
      <w:szCs w:val="20"/>
      <w:lang w:val="en-GB" w:eastAsia="en-US"/>
    </w:rPr>
  </w:style>
  <w:style w:type="character" w:customStyle="1" w:styleId="109">
    <w:name w:val="Header Char"/>
    <w:link w:val="36"/>
    <w:qFormat/>
    <w:uiPriority w:val="99"/>
    <w:rPr>
      <w:rFonts w:ascii="Arial" w:hAnsi="Arial"/>
      <w:b/>
      <w:sz w:val="18"/>
      <w:lang w:val="en-GB" w:eastAsia="en-US"/>
    </w:rPr>
  </w:style>
  <w:style w:type="paragraph" w:customStyle="1" w:styleId="110">
    <w:name w:val="Agreement"/>
    <w:basedOn w:val="1"/>
    <w:next w:val="106"/>
    <w:qFormat/>
    <w:uiPriority w:val="0"/>
    <w:pPr>
      <w:numPr>
        <w:ilvl w:val="0"/>
        <w:numId w:val="1"/>
      </w:numPr>
      <w:spacing w:before="60" w:after="0"/>
    </w:pPr>
    <w:rPr>
      <w:rFonts w:ascii="Arial" w:hAnsi="Arial" w:eastAsia="MS Mincho"/>
      <w:b/>
      <w:szCs w:val="24"/>
      <w:lang w:eastAsia="en-GB"/>
    </w:rPr>
  </w:style>
  <w:style w:type="paragraph" w:customStyle="1" w:styleId="111">
    <w:name w:val="B7"/>
    <w:basedOn w:val="112"/>
    <w:link w:val="113"/>
    <w:qFormat/>
    <w:uiPriority w:val="0"/>
    <w:pPr>
      <w:ind w:left="1985"/>
    </w:pPr>
    <w:rPr>
      <w:rFonts w:eastAsia="Malgun Gothic"/>
    </w:rPr>
  </w:style>
  <w:style w:type="paragraph" w:customStyle="1" w:styleId="112">
    <w:name w:val="B6"/>
    <w:basedOn w:val="80"/>
    <w:link w:val="114"/>
    <w:qFormat/>
    <w:uiPriority w:val="0"/>
    <w:pPr>
      <w:ind w:left="1701" w:firstLine="0"/>
    </w:pPr>
    <w:rPr>
      <w:rFonts w:eastAsia="Batang"/>
    </w:rPr>
  </w:style>
  <w:style w:type="character" w:customStyle="1" w:styleId="113">
    <w:name w:val="B7 Char"/>
    <w:basedOn w:val="114"/>
    <w:link w:val="111"/>
    <w:qFormat/>
    <w:uiPriority w:val="0"/>
    <w:rPr>
      <w:rFonts w:ascii="Times New Roman" w:hAnsi="Times New Roman" w:eastAsia="Malgun Gothic"/>
      <w:lang w:val="en-GB" w:eastAsia="en-US"/>
    </w:rPr>
  </w:style>
  <w:style w:type="character" w:customStyle="1" w:styleId="114">
    <w:name w:val="B6 Char"/>
    <w:basedOn w:val="115"/>
    <w:link w:val="112"/>
    <w:qFormat/>
    <w:uiPriority w:val="0"/>
    <w:rPr>
      <w:rFonts w:ascii="Times New Roman" w:hAnsi="Times New Roman" w:eastAsia="Batang"/>
      <w:lang w:val="en-GB" w:eastAsia="en-US"/>
    </w:rPr>
  </w:style>
  <w:style w:type="character" w:customStyle="1" w:styleId="115">
    <w:name w:val="B5 Char"/>
    <w:link w:val="80"/>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732F8-DEC7-447E-8DAF-3A0CC1604A48}">
  <ds:schemaRefs/>
</ds:datastoreItem>
</file>

<file path=customXml/itemProps3.xml><?xml version="1.0" encoding="utf-8"?>
<ds:datastoreItem xmlns:ds="http://schemas.openxmlformats.org/officeDocument/2006/customXml" ds:itemID="{22D5EBCD-40FE-4F27-AC81-206873AADB05}">
  <ds:schemaRefs/>
</ds:datastoreItem>
</file>

<file path=customXml/itemProps4.xml><?xml version="1.0" encoding="utf-8"?>
<ds:datastoreItem xmlns:ds="http://schemas.openxmlformats.org/officeDocument/2006/customXml" ds:itemID="{6920CFCD-9BD5-4F8F-BD1F-D219787CFBA5}">
  <ds:schemaRefs/>
</ds:datastoreItem>
</file>

<file path=customXml/itemProps5.xml><?xml version="1.0" encoding="utf-8"?>
<ds:datastoreItem xmlns:ds="http://schemas.openxmlformats.org/officeDocument/2006/customXml" ds:itemID="{5E9431C3-2946-4B62-9134-A9DE7826B4F1}">
  <ds:schemaRefs/>
</ds:datastoreItem>
</file>

<file path=docProps/app.xml><?xml version="1.0" encoding="utf-8"?>
<Properties xmlns="http://schemas.openxmlformats.org/officeDocument/2006/extended-properties" xmlns:vt="http://schemas.openxmlformats.org/officeDocument/2006/docPropsVTypes">
  <Template>3gpp_70.dot</Template>
  <Manager>seungjune.yi@lge.com</Manager>
  <Company>3GPP Support Team</Company>
  <Pages>5</Pages>
  <Words>1972</Words>
  <Characters>11245</Characters>
  <Lines>93</Lines>
  <Paragraphs>26</Paragraphs>
  <TotalTime>0</TotalTime>
  <ScaleCrop>false</ScaleCrop>
  <LinksUpToDate>false</LinksUpToDate>
  <CharactersWithSpaces>13191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2020-08-03T08:18:00Z</dcterms:created>
  <dc:creator>seungjune.yi@lge.com</dc:creator>
  <cp:lastModifiedBy>vivo</cp:lastModifiedBy>
  <cp:lastPrinted>1900-12-31T15:00:00Z</cp:lastPrinted>
  <dcterms:modified xsi:type="dcterms:W3CDTF">2020-08-07T05:35:24Z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y fmtid="{D5CDD505-2E9C-101B-9397-08002B2CF9AE}" pid="35" name="KSOProductBuildVer">
    <vt:lpwstr>2052-11.1.0.8002</vt:lpwstr>
  </property>
</Properties>
</file>